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relied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answer FMP objectives when possible. For those objectives that did not have an immediate conceptual model-identified indicator, this report used a decision matrix process for expert vetting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w:t>
      </w:r>
      <w:r>
        <w:t xml:space="preserve"> </w:t>
      </w:r>
      <w:r>
        <w:t xml:space="preserve">(Montenero, Kelble, and Broughton 2021)</w:t>
      </w:r>
      <w:r>
        <w:t xml:space="preserve"> </w:t>
      </w:r>
      <w:r>
        <w:t xml:space="preserve">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 (test)</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and yellowtail snapper,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19"/>
    <w:p>
      <w:pPr>
        <w:pStyle w:val="Bibliography"/>
      </w:pPr>
      <w:r>
        <w:t xml:space="preserve">Wang, Menghua,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8">
        <w:r>
          <w:rPr>
            <w:rStyle w:val="Hyperlink"/>
          </w:rPr>
          <w:t xml:space="preserve">https://doi.org/10.1029/2009JC005286</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2025-03-20T21:21:33Z</dcterms:created>
  <dcterms:modified xsi:type="dcterms:W3CDTF">2025-03-20T21:21:33Z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2025-03-20</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